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05" w:rsidRPr="00C07298" w:rsidRDefault="00C07298" w:rsidP="00C07298">
      <w:pPr>
        <w:jc w:val="center"/>
        <w:rPr>
          <w:b/>
          <w:color w:val="000000" w:themeColor="text1"/>
          <w:lang w:val="ro-RO"/>
        </w:rPr>
      </w:pPr>
      <w:r w:rsidRPr="00C07298">
        <w:rPr>
          <w:rFonts w:ascii="Cambria" w:hAnsi="Cambria"/>
          <w:b/>
          <w:color w:val="000000" w:themeColor="text1"/>
          <w:sz w:val="24"/>
          <w:szCs w:val="24"/>
          <w:lang w:val="ro-RO"/>
        </w:rPr>
        <w:t>PRECIZĂRI REFERITOARE LA COMPLETAREA FORMULARULUI</w:t>
      </w:r>
      <w:r w:rsidRPr="00C07298">
        <w:rPr>
          <w:b/>
          <w:color w:val="000000" w:themeColor="text1"/>
          <w:lang w:val="ro-RO"/>
        </w:rPr>
        <w:t xml:space="preserve"> </w:t>
      </w:r>
      <w:r w:rsidRPr="00C07298">
        <w:rPr>
          <w:rFonts w:ascii="Cambria" w:hAnsi="Cambria"/>
          <w:b/>
          <w:color w:val="000000" w:themeColor="text1"/>
          <w:sz w:val="24"/>
          <w:szCs w:val="24"/>
          <w:lang w:val="ro-RO"/>
        </w:rPr>
        <w:t>DE APLICAȚIE PENT</w:t>
      </w:r>
      <w:r w:rsidR="00331F57">
        <w:rPr>
          <w:rFonts w:ascii="Cambria" w:hAnsi="Cambria"/>
          <w:b/>
          <w:color w:val="000000" w:themeColor="text1"/>
          <w:sz w:val="24"/>
          <w:szCs w:val="24"/>
          <w:lang w:val="ro-RO"/>
        </w:rPr>
        <w:t>RU APELUL DE PROPUNERI CAEN 2023</w:t>
      </w:r>
    </w:p>
    <w:p w:rsidR="008641B0" w:rsidRPr="00C07298" w:rsidRDefault="008641B0" w:rsidP="000D6840">
      <w:p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0D6840" w:rsidRPr="00C07298" w:rsidRDefault="000D6840" w:rsidP="000D6840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Formularul de aplicație se completează în baza Regulamentului de organizare a activităților cuprinse în calendarul activităților educative, școlare și extrașcolare, aprobat prin OMECTS nr. 3035/2012.</w:t>
      </w:r>
    </w:p>
    <w:p w:rsidR="005D4256" w:rsidRPr="00C07298" w:rsidRDefault="005D4256" w:rsidP="005D4256">
      <w:pPr>
        <w:pStyle w:val="NoSpacing"/>
        <w:tabs>
          <w:tab w:val="left" w:pos="1134"/>
        </w:tabs>
        <w:ind w:left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8641B0" w:rsidRPr="00C07298" w:rsidRDefault="008641B0" w:rsidP="000D6840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Proiectul va conține următoarele documente:</w:t>
      </w:r>
    </w:p>
    <w:p w:rsidR="006601FA" w:rsidRPr="00C07298" w:rsidRDefault="006601FA" w:rsidP="005D4256">
      <w:pPr>
        <w:pStyle w:val="NoSpacing"/>
        <w:numPr>
          <w:ilvl w:val="3"/>
          <w:numId w:val="6"/>
        </w:numPr>
        <w:tabs>
          <w:tab w:val="left" w:pos="993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F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ormularul de aplicație</w:t>
      </w:r>
      <w:r w:rsidR="00BD6496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pentru Apelul de propuneri </w:t>
      </w:r>
      <w:bookmarkStart w:id="0" w:name="_GoBack"/>
      <w:r w:rsidR="00BD6496">
        <w:rPr>
          <w:rFonts w:ascii="Cambria" w:hAnsi="Cambria"/>
          <w:color w:val="000000" w:themeColor="text1"/>
          <w:sz w:val="24"/>
          <w:szCs w:val="24"/>
          <w:lang w:val="ro-RO"/>
        </w:rPr>
        <w:t>2023</w:t>
      </w:r>
      <w:bookmarkEnd w:id="0"/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(scris cu TNR 12, la un rând/maxim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um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9 pagini/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fără anexe</w:t>
      </w:r>
      <w:r w:rsidR="005D4256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). </w:t>
      </w:r>
    </w:p>
    <w:p w:rsidR="00CC18B7" w:rsidRPr="00C07298" w:rsidRDefault="006601FA" w:rsidP="006601FA">
      <w:pPr>
        <w:pStyle w:val="NoSpacing"/>
        <w:numPr>
          <w:ilvl w:val="1"/>
          <w:numId w:val="6"/>
        </w:numPr>
        <w:tabs>
          <w:tab w:val="left" w:pos="993"/>
        </w:tabs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Un proiect nu poate depăși 9 pagini</w:t>
      </w:r>
      <w:r w:rsidR="00CC18B7" w:rsidRPr="00C07298">
        <w:rPr>
          <w:rFonts w:ascii="Cambria" w:hAnsi="Cambria"/>
          <w:color w:val="000000" w:themeColor="text1"/>
          <w:sz w:val="24"/>
          <w:szCs w:val="24"/>
          <w:lang w:val="ro-RO"/>
        </w:rPr>
        <w:t>;</w:t>
      </w:r>
    </w:p>
    <w:p w:rsidR="005D4256" w:rsidRPr="00C07298" w:rsidRDefault="00CC18B7" w:rsidP="006601FA">
      <w:pPr>
        <w:pStyle w:val="NoSpacing"/>
        <w:numPr>
          <w:ilvl w:val="1"/>
          <w:numId w:val="6"/>
        </w:numPr>
        <w:tabs>
          <w:tab w:val="left" w:pos="993"/>
        </w:tabs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>Proiectele care vor</w:t>
      </w:r>
      <w:r w:rsidR="005D4256"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 xml:space="preserve"> depăși 9 pagini (fără Diagrama Gantt, Raport și Regulament) </w:t>
      </w: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>vor</w:t>
      </w:r>
      <w:r w:rsidR="005D4256" w:rsidRPr="00C07298">
        <w:rPr>
          <w:rFonts w:ascii="Cambria" w:hAnsi="Cambria"/>
          <w:b/>
          <w:i/>
          <w:color w:val="000000" w:themeColor="text1"/>
          <w:sz w:val="24"/>
          <w:szCs w:val="24"/>
          <w:lang w:val="ro-RO"/>
        </w:rPr>
        <w:t xml:space="preserve"> fi eliminat</w:t>
      </w:r>
      <w:r w:rsidRPr="00C07298">
        <w:rPr>
          <w:rFonts w:ascii="Cambria" w:hAnsi="Cambria"/>
          <w:b/>
          <w:i/>
          <w:color w:val="000000" w:themeColor="text1"/>
          <w:sz w:val="24"/>
          <w:szCs w:val="24"/>
          <w:lang w:val="ro-RO"/>
        </w:rPr>
        <w:t>e</w:t>
      </w:r>
      <w:r w:rsidR="005D4256" w:rsidRPr="00C07298">
        <w:rPr>
          <w:rFonts w:ascii="Cambria" w:hAnsi="Cambria"/>
          <w:b/>
          <w:i/>
          <w:color w:val="000000" w:themeColor="text1"/>
          <w:sz w:val="24"/>
          <w:szCs w:val="24"/>
          <w:lang w:val="ro-RO"/>
        </w:rPr>
        <w:t xml:space="preserve"> din concurs</w:t>
      </w:r>
      <w:r w:rsidR="005D4256"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>;</w:t>
      </w:r>
    </w:p>
    <w:p w:rsidR="005D4256" w:rsidRPr="00C07298" w:rsidRDefault="006601FA" w:rsidP="005D4256">
      <w:pPr>
        <w:pStyle w:val="NoSpacing"/>
        <w:numPr>
          <w:ilvl w:val="3"/>
          <w:numId w:val="6"/>
        </w:numPr>
        <w:tabs>
          <w:tab w:val="left" w:pos="993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R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aportul 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ediției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precedente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(vizat de inspectorul educativ  - 1 pagină + anexele)</w:t>
      </w:r>
      <w:r w:rsidR="005D4256" w:rsidRPr="00C07298">
        <w:rPr>
          <w:rFonts w:ascii="Cambria" w:hAnsi="Cambria"/>
          <w:color w:val="000000" w:themeColor="text1"/>
          <w:sz w:val="24"/>
          <w:szCs w:val="24"/>
          <w:lang w:val="ro-RO"/>
        </w:rPr>
        <w:t>;</w:t>
      </w:r>
    </w:p>
    <w:p w:rsidR="005D4256" w:rsidRPr="00C07298" w:rsidRDefault="006601FA" w:rsidP="005D4256">
      <w:pPr>
        <w:pStyle w:val="NoSpacing"/>
        <w:numPr>
          <w:ilvl w:val="3"/>
          <w:numId w:val="6"/>
        </w:numPr>
        <w:tabs>
          <w:tab w:val="left" w:pos="993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iagrama Gantt (1 pagină)</w:t>
      </w:r>
      <w:r w:rsidR="00771029" w:rsidRPr="00C07298">
        <w:rPr>
          <w:rFonts w:ascii="Cambria" w:hAnsi="Cambria"/>
          <w:color w:val="000000" w:themeColor="text1"/>
          <w:sz w:val="24"/>
          <w:szCs w:val="24"/>
          <w:lang w:val="ro-RO"/>
        </w:rPr>
        <w:t>:</w:t>
      </w:r>
    </w:p>
    <w:p w:rsidR="00771029" w:rsidRPr="00C07298" w:rsidRDefault="006601FA" w:rsidP="005D4256">
      <w:pPr>
        <w:pStyle w:val="NoSpacing"/>
        <w:numPr>
          <w:ilvl w:val="3"/>
          <w:numId w:val="6"/>
        </w:numPr>
        <w:tabs>
          <w:tab w:val="left" w:pos="993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R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egulamentul aprobat de inspectorul școlar general</w:t>
      </w:r>
      <w:r w:rsidR="00F92227" w:rsidRPr="00C07298">
        <w:rPr>
          <w:rFonts w:ascii="Cambria" w:hAnsi="Cambria"/>
          <w:color w:val="000000" w:themeColor="text1"/>
          <w:sz w:val="24"/>
          <w:szCs w:val="24"/>
          <w:lang w:val="ro-RO"/>
        </w:rPr>
        <w:t>/inspector școlar educativ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(</w:t>
      </w:r>
      <w:r w:rsidR="00771029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doar </w:t>
      </w:r>
      <w:r w:rsidR="005D4256" w:rsidRPr="00C07298">
        <w:rPr>
          <w:rFonts w:ascii="Cambria" w:hAnsi="Cambria"/>
          <w:color w:val="000000" w:themeColor="text1"/>
          <w:sz w:val="24"/>
          <w:szCs w:val="24"/>
          <w:lang w:val="ro-RO"/>
        </w:rPr>
        <w:t>în cazul concursurilor).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</w:p>
    <w:p w:rsidR="005D4256" w:rsidRPr="00C07298" w:rsidRDefault="005D4256" w:rsidP="000D6840">
      <w:pPr>
        <w:pStyle w:val="NoSpacing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0D6840" w:rsidRPr="00C07298" w:rsidRDefault="000D6840" w:rsidP="005D425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Proiectul </w:t>
      </w:r>
      <w:r w:rsidRPr="00C07298">
        <w:rPr>
          <w:rFonts w:ascii="Cambria" w:hAnsi="Cambria"/>
          <w:b/>
          <w:color w:val="000000" w:themeColor="text1"/>
          <w:sz w:val="24"/>
          <w:szCs w:val="24"/>
          <w:u w:val="single"/>
          <w:lang w:val="ro-RO"/>
        </w:rPr>
        <w:t>nu se identifică cu concursul/</w:t>
      </w:r>
      <w:r w:rsidR="00FB165C" w:rsidRPr="00C07298">
        <w:rPr>
          <w:rFonts w:ascii="Cambria" w:hAnsi="Cambria"/>
          <w:b/>
          <w:color w:val="000000" w:themeColor="text1"/>
          <w:sz w:val="24"/>
          <w:szCs w:val="24"/>
          <w:u w:val="single"/>
          <w:lang w:val="ro-RO"/>
        </w:rPr>
        <w:t xml:space="preserve"> </w:t>
      </w:r>
      <w:r w:rsidRPr="00C07298">
        <w:rPr>
          <w:rFonts w:ascii="Cambria" w:hAnsi="Cambria"/>
          <w:b/>
          <w:color w:val="000000" w:themeColor="text1"/>
          <w:sz w:val="24"/>
          <w:szCs w:val="24"/>
          <w:u w:val="single"/>
          <w:lang w:val="ro-RO"/>
        </w:rPr>
        <w:t>festivalul în sine</w:t>
      </w:r>
      <w:r w:rsidR="004C291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. 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Concursul/</w:t>
      </w:r>
      <w:r w:rsidR="004C2912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festivalul este doar activitatea principală a proiectului, care se subsumează unui obiectiv specific.</w:t>
      </w:r>
    </w:p>
    <w:p w:rsidR="005D4256" w:rsidRPr="00C07298" w:rsidRDefault="005D4256" w:rsidP="005D4256">
      <w:pPr>
        <w:pStyle w:val="NoSpacing"/>
        <w:tabs>
          <w:tab w:val="left" w:pos="1134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0D6840" w:rsidRPr="00C07298" w:rsidRDefault="000D6840" w:rsidP="005D425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Raportul ediției anterioare trebuie să conțină </w:t>
      </w:r>
      <w:r w:rsidRPr="00C07298">
        <w:rPr>
          <w:rFonts w:ascii="Cambria" w:hAnsi="Cambria"/>
          <w:b/>
          <w:color w:val="000000" w:themeColor="text1"/>
          <w:sz w:val="24"/>
          <w:szCs w:val="24"/>
          <w:u w:val="single"/>
          <w:lang w:val="ro-RO"/>
        </w:rPr>
        <w:t>minimum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următoarele informații:</w:t>
      </w:r>
    </w:p>
    <w:p w:rsidR="000D6840" w:rsidRPr="00C07298" w:rsidRDefault="00D601AD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Rezultatul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derulării proiectului (foarte pe scurt: perioadă, parteneri, principalele activități);</w:t>
      </w:r>
    </w:p>
    <w:p w:rsidR="000D6840" w:rsidRPr="00C07298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Număr de participanți</w:t>
      </w:r>
      <w:r w:rsidR="00FB165C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la etapa </w:t>
      </w:r>
      <w:r w:rsidR="007C4DDB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finală, precizând 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unitatea de învățământ (în cazul </w:t>
      </w:r>
      <w:r w:rsidR="00C07298" w:rsidRPr="00C07298">
        <w:rPr>
          <w:rFonts w:ascii="Cambria" w:hAnsi="Cambria"/>
          <w:color w:val="000000" w:themeColor="text1"/>
          <w:sz w:val="24"/>
          <w:szCs w:val="24"/>
          <w:lang w:val="ro-RO"/>
        </w:rPr>
        <w:t>proiectelor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cu participare directă);</w:t>
      </w:r>
    </w:p>
    <w:p w:rsidR="000D6840" w:rsidRPr="00C07298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Număr de participanți, școli, județe și țări implicate, pentru proiectele cu participare indirectă/online;</w:t>
      </w:r>
    </w:p>
    <w:p w:rsidR="000D6840" w:rsidRPr="00C07298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Bugetul (surse de proveniență a fondurilor și modul în care au fost cheltuite);</w:t>
      </w:r>
    </w:p>
    <w:p w:rsidR="000D6840" w:rsidRPr="00C07298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Premii (dacă este cazul) - număr și procent din numărul de participanți (conform Regulamentului de organizare a activităților cuprinse în calendarul activităților educative, școlare și extrașcolare și Regulamentului propriu al concursului). În cazul în care sunt mai multe premii I, II et</w:t>
      </w:r>
      <w:r w:rsidR="00F01B85" w:rsidRPr="00C07298">
        <w:rPr>
          <w:rFonts w:ascii="Cambria" w:hAnsi="Cambria"/>
          <w:color w:val="000000" w:themeColor="text1"/>
          <w:sz w:val="24"/>
          <w:szCs w:val="24"/>
          <w:lang w:val="ro-RO"/>
        </w:rPr>
        <w:t>c., se va justifica acest lucru;</w:t>
      </w:r>
    </w:p>
    <w:p w:rsidR="000D6840" w:rsidRPr="00C07298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Rezultate – produse, impact</w:t>
      </w:r>
      <w:r w:rsidR="00F01B85" w:rsidRPr="00C07298">
        <w:rPr>
          <w:rFonts w:ascii="Cambria" w:hAnsi="Cambria"/>
          <w:color w:val="000000" w:themeColor="text1"/>
          <w:sz w:val="24"/>
          <w:szCs w:val="24"/>
          <w:lang w:val="ro-RO"/>
        </w:rPr>
        <w:t>;</w:t>
      </w:r>
    </w:p>
    <w:p w:rsidR="000D6840" w:rsidRPr="00C07298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Promovare și diseminare (doar descriere, fără atașamente).</w:t>
      </w:r>
    </w:p>
    <w:p w:rsidR="005D4256" w:rsidRPr="00C07298" w:rsidRDefault="000D6840" w:rsidP="005D4256">
      <w:pPr>
        <w:pStyle w:val="NoSpacing"/>
        <w:ind w:firstLine="360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Anexe la raport: </w:t>
      </w:r>
    </w:p>
    <w:p w:rsidR="005D4256" w:rsidRPr="00C07298" w:rsidRDefault="000D6840" w:rsidP="005D4256">
      <w:pPr>
        <w:pStyle w:val="NoSpacing"/>
        <w:numPr>
          <w:ilvl w:val="0"/>
          <w:numId w:val="8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lista c</w:t>
      </w:r>
      <w:r w:rsidR="005D4256" w:rsidRPr="00C07298">
        <w:rPr>
          <w:rFonts w:ascii="Cambria" w:hAnsi="Cambria"/>
          <w:color w:val="000000" w:themeColor="text1"/>
          <w:sz w:val="24"/>
          <w:szCs w:val="24"/>
          <w:lang w:val="ro-RO"/>
        </w:rPr>
        <w:t>u membrii echipei de proiect;</w:t>
      </w:r>
    </w:p>
    <w:p w:rsidR="000D6840" w:rsidRPr="00C07298" w:rsidRDefault="000D6840" w:rsidP="005D4256">
      <w:pPr>
        <w:pStyle w:val="NoSpacing"/>
        <w:numPr>
          <w:ilvl w:val="0"/>
          <w:numId w:val="8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lista cu coordonatorii echipajelor participante/participanților, cu datele de contact. O parte dintre aceștia vor fi sunați, aleatoriu, pentru a li</w:t>
      </w:r>
      <w:r w:rsidR="006601FA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se cere părerea despre proiect;</w:t>
      </w:r>
    </w:p>
    <w:p w:rsidR="005D4256" w:rsidRPr="00C07298" w:rsidRDefault="005D4256" w:rsidP="005D4256">
      <w:pPr>
        <w:pStyle w:val="NoSpacing"/>
        <w:numPr>
          <w:ilvl w:val="0"/>
          <w:numId w:val="8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dovezi ale finanțării ediției anterioare (contracte de sponsoriza</w:t>
      </w:r>
      <w:r w:rsidR="00457B05">
        <w:rPr>
          <w:rFonts w:ascii="Cambria" w:hAnsi="Cambria"/>
          <w:color w:val="000000" w:themeColor="text1"/>
          <w:sz w:val="24"/>
          <w:szCs w:val="24"/>
          <w:lang w:val="ro-RO"/>
        </w:rPr>
        <w:t>re, donații, suma alocată de ME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, contracte cu alte instituții ale statului etc.).</w:t>
      </w:r>
    </w:p>
    <w:p w:rsidR="000D6840" w:rsidRPr="00C07298" w:rsidRDefault="000D6840" w:rsidP="000D6840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u w:val="single"/>
          <w:lang w:val="ro-RO"/>
        </w:rPr>
      </w:pPr>
      <w:r w:rsidRPr="00C07298">
        <w:rPr>
          <w:rFonts w:ascii="Cambria" w:hAnsi="Cambria"/>
          <w:b/>
          <w:color w:val="000000" w:themeColor="text1"/>
          <w:sz w:val="24"/>
          <w:szCs w:val="24"/>
          <w:u w:val="single"/>
          <w:lang w:val="ro-RO"/>
        </w:rPr>
        <w:t>Dacă raportul nu va conține cel puțin informațiile de mai sus, va fi considerat nevalid și proiectul va fi eliminat din competiție.</w:t>
      </w:r>
    </w:p>
    <w:p w:rsidR="000D6840" w:rsidRPr="00C07298" w:rsidRDefault="000D6840" w:rsidP="000D6840">
      <w:pPr>
        <w:pStyle w:val="NoSpacing"/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 xml:space="preserve"> </w:t>
      </w:r>
    </w:p>
    <w:p w:rsidR="005D4256" w:rsidRPr="00C07298" w:rsidRDefault="005D4256" w:rsidP="005D425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 xml:space="preserve"> 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B2: Tipurile posibile de proiect sunt: concurs; festival; festival-concurs; proiect social; expoziție; tabără tematică; școală de vară; simpozioane doar pentru elevi.</w:t>
      </w:r>
    </w:p>
    <w:p w:rsidR="005D4256" w:rsidRPr="00C07298" w:rsidRDefault="005D4256" w:rsidP="005D4256">
      <w:pPr>
        <w:pStyle w:val="NoSpacing"/>
        <w:tabs>
          <w:tab w:val="left" w:pos="1134"/>
        </w:tabs>
        <w:ind w:left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5D4256" w:rsidRPr="00C07298" w:rsidRDefault="005D4256" w:rsidP="005D425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lang w:val="ro-RO"/>
        </w:rPr>
        <w:t>B3: Alegeți unul din domeniil</w:t>
      </w:r>
      <w:r w:rsidR="00D601AD" w:rsidRPr="00C07298">
        <w:rPr>
          <w:rFonts w:ascii="Cambria" w:hAnsi="Cambria"/>
          <w:color w:val="000000" w:themeColor="text1"/>
          <w:sz w:val="24"/>
          <w:lang w:val="ro-RO"/>
        </w:rPr>
        <w:t>e</w:t>
      </w:r>
      <w:r w:rsidRPr="00C07298">
        <w:rPr>
          <w:rFonts w:ascii="Cambria" w:hAnsi="Cambria"/>
          <w:color w:val="000000" w:themeColor="text1"/>
          <w:sz w:val="24"/>
          <w:lang w:val="ro-RO"/>
        </w:rPr>
        <w:t xml:space="preserve"> de mai jos: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lastRenderedPageBreak/>
        <w:t>Domeniul cultural-artistic, arte vizuale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cultural–artistic, culturi şi civilizaţii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cultural-artistic, literatură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cultural-artistic, teatru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cultural artistic – folclor, tradiţii, obiceiuri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cultural-artistic – muzică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cultural-artistic – dans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ecologie şi protecţia mediului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educaţie civică, voluntariat, proiecte caritabile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sportiv (inclusiv majorete și gimnastică aerobică)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tehnic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ştiinţific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Domeniul multidisciplinar (diferitele discipline sunt puse la un loc, </w:t>
      </w:r>
      <w:r w:rsidR="00D601AD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agregate, 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fără modificarea obiectivelor și activităților specifice);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Domeniul interdisciplinar (diferitele discipline sunt combinate, integrate într-un proiect unitar). </w:t>
      </w:r>
    </w:p>
    <w:p w:rsidR="005D4256" w:rsidRPr="00C07298" w:rsidRDefault="005D4256" w:rsidP="005D4256">
      <w:pPr>
        <w:pStyle w:val="NoSpacing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5D4256" w:rsidRPr="00C07298" w:rsidRDefault="005D4256" w:rsidP="005D425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B7: Contribuţia minimă a aplicantului este de 30% din bugetul total al proiectului (</w:t>
      </w:r>
      <w:r w:rsidRPr="00C07298">
        <w:rPr>
          <w:rFonts w:ascii="Cambria" w:hAnsi="Cambria"/>
          <w:b/>
          <w:color w:val="000000" w:themeColor="text1"/>
          <w:sz w:val="24"/>
          <w:szCs w:val="24"/>
          <w:u w:val="single"/>
          <w:lang w:val="ro-RO"/>
        </w:rPr>
        <w:t>condiţie eliminatorie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).</w:t>
      </w:r>
    </w:p>
    <w:p w:rsidR="005D4256" w:rsidRPr="00C07298" w:rsidRDefault="005D4256" w:rsidP="005D4256">
      <w:pPr>
        <w:pStyle w:val="NoSpacing"/>
        <w:tabs>
          <w:tab w:val="left" w:pos="1134"/>
        </w:tabs>
        <w:ind w:left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5D4256" w:rsidRPr="00C07298" w:rsidRDefault="005D4256" w:rsidP="005D425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D.2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.  </w:t>
      </w:r>
      <w:r w:rsidR="001A5CCF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Scopul </w:t>
      </w:r>
      <w:r w:rsidR="00457B05">
        <w:rPr>
          <w:rFonts w:ascii="Cambria" w:hAnsi="Cambria"/>
          <w:color w:val="000000" w:themeColor="text1"/>
          <w:sz w:val="24"/>
          <w:szCs w:val="24"/>
          <w:lang w:val="ro-RO"/>
        </w:rPr>
        <w:t>este finalitatea urmă</w:t>
      </w:r>
      <w:r w:rsidR="001A5CCF" w:rsidRPr="008F4423">
        <w:rPr>
          <w:rFonts w:ascii="Cambria" w:hAnsi="Cambria"/>
          <w:color w:val="000000" w:themeColor="text1"/>
          <w:sz w:val="24"/>
          <w:szCs w:val="24"/>
          <w:lang w:val="ro-RO"/>
        </w:rPr>
        <w:t>rită de un proiect, o declarație de intenție generală, care dă o măsură a rezultatului ideal al proiectului.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S</w:t>
      </w:r>
      <w:r w:rsidR="001A5CCF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copul este unic și este corect 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ca prin scop să rezolvi o s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ingură problemă (nu se va folos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i conjuncția 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„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și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”);</w:t>
      </w:r>
    </w:p>
    <w:p w:rsidR="005D4256" w:rsidRPr="00C07298" w:rsidRDefault="005D4256" w:rsidP="005D4256">
      <w:pPr>
        <w:pStyle w:val="ListParagrap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5D4256" w:rsidRPr="00C07298" w:rsidRDefault="005D4256" w:rsidP="000D6840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D.3. 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Fiecărui obiectiv specific îi sunt subsumate una sau mai multe activități. Dacă obiectivele sunt formulate SMART, rezultatele decurg firesc chiar din obiective.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</w:p>
    <w:p w:rsidR="000D6840" w:rsidRPr="00C07298" w:rsidRDefault="000D6840" w:rsidP="005D4256">
      <w:pPr>
        <w:pStyle w:val="NoSpacing"/>
        <w:tabs>
          <w:tab w:val="left" w:pos="1134"/>
        </w:tabs>
        <w:ind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>Exemplu de obiectiv specific pentru evaluare și diseminare: „Diseminarea rezultatelor proiectului în 30 unități școlare, într-un interval de 6 luni”.</w:t>
      </w:r>
    </w:p>
    <w:p w:rsidR="000D6840" w:rsidRPr="00C07298" w:rsidRDefault="000D6840" w:rsidP="005D4256">
      <w:pPr>
        <w:pStyle w:val="NoSpacing"/>
        <w:ind w:firstLine="709"/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>Activități subsumate acestui obiectiv:</w:t>
      </w:r>
    </w:p>
    <w:p w:rsidR="000D6840" w:rsidRPr="00C07298" w:rsidRDefault="000D6840" w:rsidP="005D4256">
      <w:pPr>
        <w:pStyle w:val="NoSpacing"/>
        <w:ind w:firstLine="709"/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>1. Constituirea unei baze de date cu profesorii participanți la proiect;</w:t>
      </w:r>
    </w:p>
    <w:p w:rsidR="000D6840" w:rsidRPr="00C07298" w:rsidRDefault="000D6840" w:rsidP="005D4256">
      <w:pPr>
        <w:pStyle w:val="NoSpacing"/>
        <w:ind w:firstLine="709"/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>2. Realizarea unor materiale electronice cu rezultatele proiectului și transmiterea acestora către profesorii implicați;</w:t>
      </w:r>
    </w:p>
    <w:p w:rsidR="000D6840" w:rsidRPr="00C07298" w:rsidRDefault="000D6840" w:rsidP="005D4256">
      <w:pPr>
        <w:pStyle w:val="NoSpacing"/>
        <w:ind w:firstLine="709"/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>3. Organizarea unor evenimente de diseminare în cele 30 de unități școlare, după finalizarea activității principale.</w:t>
      </w:r>
    </w:p>
    <w:p w:rsidR="005D4256" w:rsidRPr="00C07298" w:rsidRDefault="005D4256" w:rsidP="000D6840">
      <w:pPr>
        <w:pStyle w:val="NoSpacing"/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</w:p>
    <w:p w:rsidR="00C12565" w:rsidRPr="00C07298" w:rsidRDefault="00C12565" w:rsidP="005D425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D.7. Activitățile sunt subsumate unui obiectiv specific. Ele pot fi împărțite în subactivități/acțiuni, dacă este necesar, cu respectarea numărului maxim de caractere pentru acest capitol. Probele de concurs nu sunt activități separate, ci subactivități/acțiuni în cadrul activității principale. Ele sunt descrise în Regulamentul concursului, nu în formularul de aplicație.</w:t>
      </w:r>
    </w:p>
    <w:p w:rsidR="00C12565" w:rsidRPr="00C07298" w:rsidRDefault="00C12565" w:rsidP="00C12565">
      <w:pPr>
        <w:pStyle w:val="NoSpacing"/>
        <w:tabs>
          <w:tab w:val="left" w:pos="1134"/>
        </w:tabs>
        <w:ind w:left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0D6840" w:rsidRPr="00C07298" w:rsidRDefault="00C12565" w:rsidP="00C12565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D.7. 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Perioada de desfășurare a proiectului este întotdeauna mai mare decât cea de desfășurare a concursului/festivalului. Obligatoriu există o perioadă de pregătire și una de evaluare/diseminare.</w:t>
      </w:r>
    </w:p>
    <w:p w:rsidR="00C12565" w:rsidRPr="00C07298" w:rsidRDefault="00C12565" w:rsidP="00C12565">
      <w:pPr>
        <w:pStyle w:val="NoSpacing"/>
        <w:tabs>
          <w:tab w:val="left" w:pos="1134"/>
        </w:tabs>
        <w:ind w:left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0D6840" w:rsidRPr="00C07298" w:rsidRDefault="000D6840" w:rsidP="000D6840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D.8. Exemplu de diagramă Gantt:</w:t>
      </w:r>
    </w:p>
    <w:tbl>
      <w:tblPr>
        <w:tblW w:w="9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350"/>
        <w:gridCol w:w="1455"/>
        <w:gridCol w:w="662"/>
        <w:gridCol w:w="663"/>
        <w:gridCol w:w="662"/>
        <w:gridCol w:w="663"/>
        <w:gridCol w:w="662"/>
        <w:gridCol w:w="663"/>
        <w:gridCol w:w="2121"/>
      </w:tblGrid>
      <w:tr w:rsidR="00C07298" w:rsidRPr="00C07298" w:rsidTr="009E1BF7">
        <w:trPr>
          <w:trHeight w:val="68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Obiectiv specific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Luna 1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Luna 2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Luna 3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Luna 4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Luna 5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...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Responsabili</w:t>
            </w:r>
          </w:p>
        </w:tc>
      </w:tr>
      <w:tr w:rsidR="00C07298" w:rsidRPr="00C07298" w:rsidTr="009E1BF7">
        <w:trPr>
          <w:trHeight w:val="164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lastRenderedPageBreak/>
              <w:t>1.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Diseminarea rezultatelor proiectului în 30 unități școlare, într-un interval de 6 luni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Constituirea unei baze de date cu profesorii participanți la proiect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Ionescu P</w:t>
            </w:r>
          </w:p>
        </w:tc>
      </w:tr>
      <w:tr w:rsidR="00C07298" w:rsidRPr="00C07298" w:rsidTr="009E1BF7">
        <w:trPr>
          <w:trHeight w:val="236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Realizarea unor materiale electronice cu rezultatele proiectului și transmiterea acestora către profesorii implicați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Georgescu M.</w:t>
            </w:r>
          </w:p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Popescu P.</w:t>
            </w:r>
          </w:p>
        </w:tc>
      </w:tr>
      <w:tr w:rsidR="00C07298" w:rsidRPr="00C07298" w:rsidTr="009E1BF7">
        <w:trPr>
          <w:trHeight w:val="164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Organizarea unor evenimente de diseminare în cele 30 de unități școlare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Echipa de proiect, pe orașe</w:t>
            </w:r>
          </w:p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Profesorii participanți</w:t>
            </w:r>
          </w:p>
        </w:tc>
      </w:tr>
    </w:tbl>
    <w:p w:rsidR="000D6840" w:rsidRPr="00C07298" w:rsidRDefault="000D6840" w:rsidP="000D6840">
      <w:pPr>
        <w:pStyle w:val="NoSpacing"/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 xml:space="preserve"> </w:t>
      </w:r>
    </w:p>
    <w:p w:rsidR="00D601AD" w:rsidRPr="00C07298" w:rsidRDefault="000D6840" w:rsidP="000D6840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D.13. Partenerii sunt acele instituții care contribuie efectiv la </w:t>
      </w:r>
      <w:r w:rsidR="001A5CCF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atingerea obiectivelor proiectului. Partenerii au roluri și atribuții precise </w:t>
      </w:r>
      <w:r w:rsidR="00C07298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în proiect. </w:t>
      </w:r>
      <w:r w:rsidR="009E1BF7" w:rsidRPr="00C07298">
        <w:rPr>
          <w:rFonts w:ascii="Cambria" w:hAnsi="Cambria"/>
          <w:color w:val="000000" w:themeColor="text1"/>
          <w:sz w:val="24"/>
          <w:szCs w:val="24"/>
          <w:lang w:val="ro-RO"/>
        </w:rPr>
        <w:t>Partenerii nu se confundă cu participanții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="009E1BF7" w:rsidRPr="00C07298">
        <w:rPr>
          <w:rFonts w:ascii="Cambria" w:hAnsi="Cambria"/>
          <w:color w:val="000000" w:themeColor="text1"/>
          <w:sz w:val="24"/>
          <w:szCs w:val="24"/>
          <w:lang w:val="ro-RO"/>
        </w:rPr>
        <w:t>în proiect/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unitățile școlare care participă la una sau mai multe activități ale proiectului. Existența partenerilor este recomandată, nu obligatorie. </w:t>
      </w:r>
    </w:p>
    <w:p w:rsidR="00D601AD" w:rsidRPr="00C07298" w:rsidRDefault="00D601AD" w:rsidP="00D601AD">
      <w:pPr>
        <w:pStyle w:val="NoSpacing"/>
        <w:tabs>
          <w:tab w:val="left" w:pos="1134"/>
        </w:tabs>
        <w:ind w:left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0D6840" w:rsidRPr="00C07298" w:rsidRDefault="000D6840" w:rsidP="000D6840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E. Cheltuielile eligibile sunt: </w:t>
      </w:r>
    </w:p>
    <w:p w:rsidR="000D6840" w:rsidRPr="00C07298" w:rsidRDefault="000D6840" w:rsidP="000D6840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cazare </w:t>
      </w:r>
      <w:proofErr w:type="spellStart"/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şi</w:t>
      </w:r>
      <w:proofErr w:type="spellEnd"/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masă </w:t>
      </w:r>
      <w:proofErr w:type="spellStart"/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participanţi</w:t>
      </w:r>
      <w:proofErr w:type="spellEnd"/>
      <w:r w:rsidR="00872EE5">
        <w:rPr>
          <w:rFonts w:ascii="Cambria" w:hAnsi="Cambria"/>
          <w:color w:val="000000" w:themeColor="text1"/>
          <w:sz w:val="24"/>
          <w:szCs w:val="24"/>
          <w:lang w:val="ro-RO"/>
        </w:rPr>
        <w:t>;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</w:p>
    <w:p w:rsidR="000D6840" w:rsidRPr="00C07298" w:rsidRDefault="000D6840" w:rsidP="000D6840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premii (cf. </w:t>
      </w:r>
      <w:r w:rsidR="00872EE5">
        <w:rPr>
          <w:rFonts w:ascii="Cambria" w:hAnsi="Cambria"/>
          <w:color w:val="000000" w:themeColor="text1"/>
          <w:sz w:val="24"/>
          <w:szCs w:val="24"/>
          <w:lang w:val="ro-RO"/>
        </w:rPr>
        <w:t>legislației în vigoare);</w:t>
      </w:r>
    </w:p>
    <w:p w:rsidR="000D6840" w:rsidRPr="00C07298" w:rsidRDefault="000D6840" w:rsidP="000D6840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cheltuieli de organizare şi materiale (numai consu</w:t>
      </w:r>
      <w:r w:rsidR="00872EE5">
        <w:rPr>
          <w:rFonts w:ascii="Cambria" w:hAnsi="Cambria"/>
          <w:color w:val="000000" w:themeColor="text1"/>
          <w:sz w:val="24"/>
          <w:szCs w:val="24"/>
          <w:lang w:val="ro-RO"/>
        </w:rPr>
        <w:t>mabile, nu obiecte de inventar);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</w:p>
    <w:p w:rsidR="000D6840" w:rsidRPr="00C07298" w:rsidRDefault="000D6840" w:rsidP="000D6840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transport intern. </w:t>
      </w:r>
    </w:p>
    <w:p w:rsidR="000D6840" w:rsidRPr="00C07298" w:rsidRDefault="000D6840" w:rsidP="00D601AD">
      <w:pPr>
        <w:pStyle w:val="NoSpacing"/>
        <w:ind w:firstLine="708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Fiecare tip de cheltuială va fi descrisă detaliat (de exemplu</w:t>
      </w:r>
      <w:r w:rsidR="00872EE5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cazare și masă  50 persoane x X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zile x Y lei/zi/persoană; transport ruta gară – tabără și retur: 50 persoane x Y lei/persoană sau 50 km x Y lei/km; premii: 4 premii I + 4 premii II + 4 premii III + 4 mențiuni/ premii speciale – dacă există 4 categorii de vârstă pentru fiecare secțiune a concursului, iar marele premiu/trofeul festivalului se acordă pentru cea mai bună prestație indiferent de nr. secțiunilor/categoriilor de vârstă.</w:t>
      </w:r>
      <w:r w:rsidR="00D601AD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</w:p>
    <w:p w:rsidR="00771029" w:rsidRPr="00C07298" w:rsidRDefault="00771029" w:rsidP="000D6840">
      <w:pPr>
        <w:jc w:val="both"/>
        <w:rPr>
          <w:color w:val="000000" w:themeColor="text1"/>
          <w:lang w:val="ro-RO"/>
        </w:rPr>
      </w:pPr>
    </w:p>
    <w:sectPr w:rsidR="00771029" w:rsidRPr="00C07298" w:rsidSect="00C07298">
      <w:pgSz w:w="11906" w:h="16838"/>
      <w:pgMar w:top="1417" w:right="141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5BB3"/>
    <w:multiLevelType w:val="hybridMultilevel"/>
    <w:tmpl w:val="6338B4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1709"/>
    <w:multiLevelType w:val="hybridMultilevel"/>
    <w:tmpl w:val="F4061874"/>
    <w:lvl w:ilvl="0" w:tplc="7FAC81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7C10"/>
    <w:multiLevelType w:val="hybridMultilevel"/>
    <w:tmpl w:val="A8E4AF8E"/>
    <w:lvl w:ilvl="0" w:tplc="578CF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542F9"/>
    <w:multiLevelType w:val="hybridMultilevel"/>
    <w:tmpl w:val="A09863BA"/>
    <w:lvl w:ilvl="0" w:tplc="7FAC81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511B9"/>
    <w:multiLevelType w:val="hybridMultilevel"/>
    <w:tmpl w:val="1B9C906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CC4734"/>
    <w:multiLevelType w:val="hybridMultilevel"/>
    <w:tmpl w:val="0A5A8E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A4FDC"/>
    <w:multiLevelType w:val="hybridMultilevel"/>
    <w:tmpl w:val="B0B6C0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C69A2"/>
    <w:multiLevelType w:val="hybridMultilevel"/>
    <w:tmpl w:val="50F640B4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EE"/>
    <w:rsid w:val="00096905"/>
    <w:rsid w:val="000D6840"/>
    <w:rsid w:val="001A5CCF"/>
    <w:rsid w:val="002521EE"/>
    <w:rsid w:val="003302FD"/>
    <w:rsid w:val="00331F57"/>
    <w:rsid w:val="00457B05"/>
    <w:rsid w:val="004C2912"/>
    <w:rsid w:val="004F5E9B"/>
    <w:rsid w:val="005D4256"/>
    <w:rsid w:val="006601FA"/>
    <w:rsid w:val="00692F6C"/>
    <w:rsid w:val="00771029"/>
    <w:rsid w:val="007C4DDB"/>
    <w:rsid w:val="008641B0"/>
    <w:rsid w:val="00872EE5"/>
    <w:rsid w:val="008F4423"/>
    <w:rsid w:val="009E1BF7"/>
    <w:rsid w:val="00BD6496"/>
    <w:rsid w:val="00C07298"/>
    <w:rsid w:val="00C12565"/>
    <w:rsid w:val="00CC18B7"/>
    <w:rsid w:val="00D601AD"/>
    <w:rsid w:val="00EF4241"/>
    <w:rsid w:val="00F01B85"/>
    <w:rsid w:val="00F600AE"/>
    <w:rsid w:val="00F92227"/>
    <w:rsid w:val="00F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17CE3-EFAF-4B44-846B-096CA6A8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1B0"/>
    <w:pPr>
      <w:spacing w:after="0" w:line="276" w:lineRule="auto"/>
    </w:pPr>
    <w:rPr>
      <w:rFonts w:ascii="Arial" w:eastAsia="Arial" w:hAnsi="Arial" w:cs="Arial"/>
      <w:lang w:val="en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1B0"/>
    <w:pPr>
      <w:ind w:left="720"/>
      <w:contextualSpacing/>
    </w:pPr>
  </w:style>
  <w:style w:type="paragraph" w:styleId="NoSpacing">
    <w:name w:val="No Spacing"/>
    <w:uiPriority w:val="1"/>
    <w:qFormat/>
    <w:rsid w:val="00771029"/>
    <w:pPr>
      <w:spacing w:after="0" w:line="240" w:lineRule="auto"/>
    </w:pPr>
    <w:rPr>
      <w:rFonts w:ascii="Arial" w:eastAsia="Arial" w:hAnsi="Arial" w:cs="Arial"/>
      <w:lang w:val="en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9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12"/>
    <w:rPr>
      <w:rFonts w:ascii="Tahoma" w:eastAsia="Arial" w:hAnsi="Tahoma" w:cs="Tahoma"/>
      <w:sz w:val="16"/>
      <w:szCs w:val="16"/>
      <w:lang w:val="en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972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Chendea</dc:creator>
  <cp:keywords/>
  <dc:description/>
  <cp:lastModifiedBy>Catalina Chendea</cp:lastModifiedBy>
  <cp:revision>4</cp:revision>
  <cp:lastPrinted>2019-11-04T10:06:00Z</cp:lastPrinted>
  <dcterms:created xsi:type="dcterms:W3CDTF">2022-09-14T07:01:00Z</dcterms:created>
  <dcterms:modified xsi:type="dcterms:W3CDTF">2022-09-16T05:54:00Z</dcterms:modified>
</cp:coreProperties>
</file>