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E8" w:rsidRDefault="00F74CE8" w:rsidP="001E370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74CE8">
        <w:rPr>
          <w:rFonts w:ascii="Times New Roman" w:hAnsi="Times New Roman" w:cs="Times New Roman"/>
          <w:sz w:val="24"/>
          <w:szCs w:val="24"/>
          <w:lang w:val="ro-RO"/>
        </w:rPr>
        <w:t>Nr................../12.12.2017</w:t>
      </w:r>
      <w:r w:rsidR="001E370E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Inspector școlar general,</w:t>
      </w:r>
    </w:p>
    <w:p w:rsidR="001E370E" w:rsidRDefault="001E370E" w:rsidP="001E370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Prof. Florentina-Ecaterina COSTEA</w:t>
      </w:r>
    </w:p>
    <w:p w:rsidR="00F74CE8" w:rsidRPr="006E1B9D" w:rsidRDefault="00F74CE8" w:rsidP="00F74CE8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E1B9D">
        <w:rPr>
          <w:rFonts w:ascii="Times New Roman" w:hAnsi="Times New Roman" w:cs="Times New Roman"/>
          <w:i/>
          <w:sz w:val="24"/>
          <w:szCs w:val="24"/>
          <w:lang w:val="ro-RO"/>
        </w:rPr>
        <w:t>Către,</w:t>
      </w:r>
    </w:p>
    <w:p w:rsidR="00F74CE8" w:rsidRPr="006E1B9D" w:rsidRDefault="00DB5AE1" w:rsidP="00F74CE8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E1B9D">
        <w:rPr>
          <w:rFonts w:ascii="Times New Roman" w:hAnsi="Times New Roman" w:cs="Times New Roman"/>
          <w:i/>
          <w:sz w:val="24"/>
          <w:szCs w:val="24"/>
          <w:lang w:val="ro-RO"/>
        </w:rPr>
        <w:t>Toate u</w:t>
      </w:r>
      <w:r w:rsidR="00F74CE8" w:rsidRPr="006E1B9D">
        <w:rPr>
          <w:rFonts w:ascii="Times New Roman" w:hAnsi="Times New Roman" w:cs="Times New Roman"/>
          <w:i/>
          <w:sz w:val="24"/>
          <w:szCs w:val="24"/>
          <w:lang w:val="ro-RO"/>
        </w:rPr>
        <w:t xml:space="preserve">nitățile </w:t>
      </w:r>
      <w:r w:rsidRPr="006E1B9D">
        <w:rPr>
          <w:rFonts w:ascii="Times New Roman" w:hAnsi="Times New Roman" w:cs="Times New Roman"/>
          <w:i/>
          <w:sz w:val="24"/>
          <w:szCs w:val="24"/>
          <w:lang w:val="ro-RO"/>
        </w:rPr>
        <w:t>de învățământ din județul</w:t>
      </w:r>
      <w:r w:rsidR="00F74CE8" w:rsidRPr="006E1B9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Ilfov</w:t>
      </w:r>
      <w:bookmarkStart w:id="0" w:name="_GoBack"/>
      <w:bookmarkEnd w:id="0"/>
    </w:p>
    <w:p w:rsidR="00F74CE8" w:rsidRPr="006E1B9D" w:rsidRDefault="00F74CE8" w:rsidP="00F74CE8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E1B9D">
        <w:rPr>
          <w:rFonts w:ascii="Times New Roman" w:hAnsi="Times New Roman" w:cs="Times New Roman"/>
          <w:i/>
          <w:sz w:val="24"/>
          <w:szCs w:val="24"/>
          <w:lang w:val="ro-RO"/>
        </w:rPr>
        <w:t>În atenția doamnei/domnului director</w:t>
      </w:r>
    </w:p>
    <w:p w:rsidR="00F74CE8" w:rsidRPr="006E1B9D" w:rsidRDefault="00F74CE8" w:rsidP="00F74CE8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E1B9D">
        <w:rPr>
          <w:rFonts w:ascii="Times New Roman" w:hAnsi="Times New Roman" w:cs="Times New Roman"/>
          <w:i/>
          <w:sz w:val="24"/>
          <w:szCs w:val="24"/>
          <w:lang w:val="ro-RO"/>
        </w:rPr>
        <w:t>Ref: Cercul pedagogic al directorilor</w:t>
      </w:r>
      <w:r w:rsidR="00DB5AE1" w:rsidRPr="006E1B9D">
        <w:rPr>
          <w:rFonts w:ascii="Times New Roman" w:hAnsi="Times New Roman" w:cs="Times New Roman"/>
          <w:i/>
          <w:sz w:val="24"/>
          <w:szCs w:val="24"/>
          <w:lang w:val="ro-RO"/>
        </w:rPr>
        <w:t xml:space="preserve">: </w:t>
      </w:r>
      <w:r w:rsidR="00DB5AE1" w:rsidRPr="006E1B9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zona de nord, 19 </w:t>
      </w:r>
      <w:r w:rsidR="006E1B9D" w:rsidRPr="006E1B9D">
        <w:rPr>
          <w:rFonts w:ascii="Times New Roman" w:hAnsi="Times New Roman" w:cs="Times New Roman"/>
          <w:b/>
          <w:i/>
          <w:sz w:val="24"/>
          <w:szCs w:val="24"/>
          <w:lang w:val="ro-RO"/>
        </w:rPr>
        <w:t>decembrie 2017</w:t>
      </w:r>
      <w:r w:rsidR="006E1B9D" w:rsidRPr="006E1B9D">
        <w:rPr>
          <w:rFonts w:ascii="Times New Roman" w:hAnsi="Times New Roman" w:cs="Times New Roman"/>
          <w:i/>
          <w:sz w:val="24"/>
          <w:szCs w:val="24"/>
          <w:lang w:val="ro-RO"/>
        </w:rPr>
        <w:t>, zona de sud 23 ianuarie 2018</w:t>
      </w:r>
    </w:p>
    <w:p w:rsidR="00F74CE8" w:rsidRPr="006E1B9D" w:rsidRDefault="00F74CE8" w:rsidP="00F74CE8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F74CE8" w:rsidRDefault="00F74CE8" w:rsidP="00F74CE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F74CE8" w:rsidRDefault="00F74CE8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74CE8">
        <w:rPr>
          <w:rFonts w:ascii="Times New Roman" w:hAnsi="Times New Roman" w:cs="Times New Roman"/>
          <w:sz w:val="24"/>
          <w:szCs w:val="24"/>
          <w:lang w:val="ro-RO"/>
        </w:rPr>
        <w:t xml:space="preserve">        În vederea  creșterii calității actului managerial, pr</w:t>
      </w:r>
      <w:r>
        <w:rPr>
          <w:rFonts w:ascii="Times New Roman" w:hAnsi="Times New Roman" w:cs="Times New Roman"/>
          <w:sz w:val="24"/>
          <w:szCs w:val="24"/>
          <w:lang w:val="ro-RO"/>
        </w:rPr>
        <w:t>in dezvoltarea competențelor</w:t>
      </w:r>
      <w:r w:rsidRPr="00F74CE8">
        <w:rPr>
          <w:rFonts w:ascii="Times New Roman" w:hAnsi="Times New Roman" w:cs="Times New Roman"/>
          <w:sz w:val="24"/>
          <w:szCs w:val="24"/>
          <w:lang w:val="ro-RO"/>
        </w:rPr>
        <w:t xml:space="preserve"> personalul</w:t>
      </w:r>
      <w:r w:rsidR="007E4F0D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F74CE8">
        <w:rPr>
          <w:rFonts w:ascii="Times New Roman" w:hAnsi="Times New Roman" w:cs="Times New Roman"/>
          <w:sz w:val="24"/>
          <w:szCs w:val="24"/>
          <w:lang w:val="ro-RO"/>
        </w:rPr>
        <w:t xml:space="preserve"> de conducere din sistemul de învățământ preuniversitar</w:t>
      </w:r>
      <w:r w:rsidR="007E4F0D">
        <w:rPr>
          <w:rFonts w:ascii="Times New Roman" w:hAnsi="Times New Roman" w:cs="Times New Roman"/>
          <w:sz w:val="24"/>
          <w:szCs w:val="24"/>
          <w:lang w:val="ro-RO"/>
        </w:rPr>
        <w:t xml:space="preserve"> din județ,</w:t>
      </w:r>
      <w:r w:rsidRPr="00F74CE8">
        <w:rPr>
          <w:rFonts w:ascii="Times New Roman" w:hAnsi="Times New Roman" w:cs="Times New Roman"/>
          <w:sz w:val="24"/>
          <w:szCs w:val="24"/>
          <w:lang w:val="ro-RO"/>
        </w:rPr>
        <w:t xml:space="preserve"> Inspe</w:t>
      </w:r>
      <w:r w:rsidR="007E4F0D">
        <w:rPr>
          <w:rFonts w:ascii="Times New Roman" w:hAnsi="Times New Roman" w:cs="Times New Roman"/>
          <w:sz w:val="24"/>
          <w:szCs w:val="24"/>
          <w:lang w:val="ro-RO"/>
        </w:rPr>
        <w:t>ctoratul Școlar Județean Ilfov</w:t>
      </w:r>
      <w:r w:rsidR="00AD7230">
        <w:rPr>
          <w:rFonts w:ascii="Times New Roman" w:hAnsi="Times New Roman" w:cs="Times New Roman"/>
          <w:sz w:val="24"/>
          <w:szCs w:val="24"/>
          <w:lang w:val="ro-RO"/>
        </w:rPr>
        <w:t>, Compartimentul Management instituțional,</w:t>
      </w:r>
      <w:r w:rsidR="007E4F0D">
        <w:rPr>
          <w:rFonts w:ascii="Times New Roman" w:hAnsi="Times New Roman" w:cs="Times New Roman"/>
          <w:sz w:val="24"/>
          <w:szCs w:val="24"/>
          <w:lang w:val="ro-RO"/>
        </w:rPr>
        <w:t xml:space="preserve"> organizează cercurile</w:t>
      </w:r>
      <w:r w:rsidRPr="00F74CE8">
        <w:rPr>
          <w:rFonts w:ascii="Times New Roman" w:hAnsi="Times New Roman" w:cs="Times New Roman"/>
          <w:sz w:val="24"/>
          <w:szCs w:val="24"/>
          <w:lang w:val="ro-RO"/>
        </w:rPr>
        <w:t xml:space="preserve"> pedagogice ale directorilor unităţi</w:t>
      </w:r>
      <w:r w:rsidR="007E4F0D">
        <w:rPr>
          <w:rFonts w:ascii="Times New Roman" w:hAnsi="Times New Roman" w:cs="Times New Roman"/>
          <w:sz w:val="24"/>
          <w:szCs w:val="24"/>
          <w:lang w:val="ro-RO"/>
        </w:rPr>
        <w:t>lor de învăţământ.</w:t>
      </w:r>
    </w:p>
    <w:p w:rsidR="007E4F0D" w:rsidRDefault="007E4F0D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Tema generală a activităților cu directorii ca</w:t>
      </w:r>
      <w:r w:rsidR="00AD7230">
        <w:rPr>
          <w:rFonts w:ascii="Times New Roman" w:hAnsi="Times New Roman" w:cs="Times New Roman"/>
          <w:sz w:val="24"/>
          <w:szCs w:val="24"/>
          <w:lang w:val="ro-RO"/>
        </w:rPr>
        <w:t xml:space="preserve">re se </w:t>
      </w:r>
      <w:r>
        <w:rPr>
          <w:rFonts w:ascii="Times New Roman" w:hAnsi="Times New Roman" w:cs="Times New Roman"/>
          <w:sz w:val="24"/>
          <w:szCs w:val="24"/>
          <w:lang w:val="ro-RO"/>
        </w:rPr>
        <w:t>des</w:t>
      </w:r>
      <w:r w:rsidR="00AD7230">
        <w:rPr>
          <w:rFonts w:ascii="Times New Roman" w:hAnsi="Times New Roman" w:cs="Times New Roman"/>
          <w:sz w:val="24"/>
          <w:szCs w:val="24"/>
          <w:lang w:val="ro-RO"/>
        </w:rPr>
        <w:t>fășoară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acest an școlar este </w:t>
      </w:r>
      <w:r w:rsidRPr="007E4F0D">
        <w:t xml:space="preserve"> </w:t>
      </w:r>
      <w:r w:rsidRPr="00AD7230">
        <w:rPr>
          <w:rFonts w:ascii="Times New Roman" w:hAnsi="Times New Roman" w:cs="Times New Roman"/>
          <w:b/>
          <w:i/>
          <w:sz w:val="24"/>
          <w:szCs w:val="24"/>
          <w:lang w:val="ro-RO"/>
        </w:rPr>
        <w:t>"Management educațional optimizat”.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urma analizei nevoilor de formare</w:t>
      </w:r>
      <w:r w:rsidR="00AD7230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exprimate de dumneavoastră, în semestrul I </w:t>
      </w:r>
      <w:r w:rsidR="00AD723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vom aborda următoarele teme:</w:t>
      </w:r>
    </w:p>
    <w:p w:rsidR="007E4F0D" w:rsidRDefault="007E4F0D" w:rsidP="00AD7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7230" w:rsidRPr="00AD7230" w:rsidRDefault="00AD7230" w:rsidP="00AD7230">
      <w:pPr>
        <w:numPr>
          <w:ilvl w:val="0"/>
          <w:numId w:val="1"/>
        </w:numPr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Conducerea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>/Leadership-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managementul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procesului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predare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învățare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inspecției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eficientizare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controlului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didactic de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director,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șefi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catedre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>.</w:t>
      </w:r>
    </w:p>
    <w:p w:rsidR="00AD7230" w:rsidRPr="00AD7230" w:rsidRDefault="00AD7230" w:rsidP="00AD7230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Conducerea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>/leadership-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managementul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resurselor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umane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asumare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Modalitati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motivare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profesorilor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sustinerea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act didactic de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. Cum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dezvoltăm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centrată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>.</w:t>
      </w:r>
    </w:p>
    <w:p w:rsidR="00AD7230" w:rsidRPr="00AD7230" w:rsidRDefault="00AD7230" w:rsidP="00AD7230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Conducerea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>/Leadership-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ul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și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managementul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b/>
          <w:i/>
          <w:sz w:val="24"/>
          <w:szCs w:val="24"/>
        </w:rPr>
        <w:t>comunitate</w:t>
      </w:r>
      <w:proofErr w:type="spellEnd"/>
      <w:r w:rsidRPr="00AD72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Managementul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parteneriatelor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 xml:space="preserve">. Marketing </w:t>
      </w:r>
      <w:proofErr w:type="spellStart"/>
      <w:r w:rsidRPr="00AD7230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AD7230">
        <w:rPr>
          <w:rFonts w:ascii="Times New Roman" w:hAnsi="Times New Roman" w:cs="Times New Roman"/>
          <w:sz w:val="24"/>
          <w:szCs w:val="24"/>
        </w:rPr>
        <w:t>.</w:t>
      </w:r>
    </w:p>
    <w:p w:rsidR="00AD7230" w:rsidRDefault="00AD7230" w:rsidP="00AD7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7230" w:rsidRPr="00AD7230" w:rsidRDefault="00AD7230" w:rsidP="00AD723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D7230">
        <w:rPr>
          <w:rFonts w:ascii="Times New Roman" w:hAnsi="Times New Roman" w:cs="Times New Roman"/>
          <w:b/>
          <w:sz w:val="24"/>
          <w:szCs w:val="24"/>
          <w:lang w:val="ro-RO"/>
        </w:rPr>
        <w:t>OBIECTIVE:</w:t>
      </w:r>
    </w:p>
    <w:p w:rsidR="00AD7230" w:rsidRPr="00AD7230" w:rsidRDefault="00AD7230" w:rsidP="00AD7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230">
        <w:rPr>
          <w:rFonts w:ascii="Times New Roman" w:hAnsi="Times New Roman" w:cs="Times New Roman"/>
          <w:sz w:val="24"/>
          <w:szCs w:val="24"/>
          <w:lang w:val="ro-RO"/>
        </w:rPr>
        <w:t>1. Articularea principiilor și standardelor care ghidează activitatea directorilor și a directorilor adjuncți.</w:t>
      </w:r>
    </w:p>
    <w:p w:rsidR="00AD7230" w:rsidRPr="00AD7230" w:rsidRDefault="00AD7230" w:rsidP="00AD7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230">
        <w:rPr>
          <w:rFonts w:ascii="Times New Roman" w:hAnsi="Times New Roman" w:cs="Times New Roman"/>
          <w:sz w:val="24"/>
          <w:szCs w:val="24"/>
          <w:lang w:val="ro-RO"/>
        </w:rPr>
        <w:t>2. Motivarea și inspirarea directorilor unităților de învăț</w:t>
      </w:r>
      <w:r>
        <w:rPr>
          <w:rFonts w:ascii="Times New Roman" w:hAnsi="Times New Roman" w:cs="Times New Roman"/>
          <w:sz w:val="24"/>
          <w:szCs w:val="24"/>
          <w:lang w:val="ro-RO"/>
        </w:rPr>
        <w:t>ământ în împărtășirea viziunii și</w:t>
      </w:r>
      <w:r w:rsidRPr="00AD7230">
        <w:rPr>
          <w:rFonts w:ascii="Times New Roman" w:hAnsi="Times New Roman" w:cs="Times New Roman"/>
          <w:sz w:val="24"/>
          <w:szCs w:val="24"/>
          <w:lang w:val="ro-RO"/>
        </w:rPr>
        <w:t xml:space="preserve"> obiectivelor cu privire la eficientizarea actului didactic ca urmare a monitorizării actului de predare-învățare.</w:t>
      </w:r>
    </w:p>
    <w:p w:rsidR="007E4F0D" w:rsidRDefault="00AD7230" w:rsidP="00AD723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7230">
        <w:rPr>
          <w:rFonts w:ascii="Times New Roman" w:hAnsi="Times New Roman" w:cs="Times New Roman"/>
          <w:sz w:val="24"/>
          <w:szCs w:val="24"/>
          <w:lang w:val="ro-RO"/>
        </w:rPr>
        <w:t>3. Diseminare de bune practici privind  crearea unei culturi a calității în unitatea de învățământ.</w:t>
      </w:r>
    </w:p>
    <w:p w:rsidR="00AD7230" w:rsidRDefault="00AD7230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7230" w:rsidRPr="0046144D" w:rsidRDefault="00AD7230" w:rsidP="00AD7230">
      <w:pPr>
        <w:tabs>
          <w:tab w:val="left" w:pos="2340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Activitățile, la care prezența dumneavoa</w:t>
      </w:r>
      <w:r w:rsidR="006E1B9D">
        <w:rPr>
          <w:rFonts w:ascii="Times New Roman" w:hAnsi="Times New Roman"/>
          <w:b/>
          <w:sz w:val="24"/>
          <w:szCs w:val="24"/>
          <w:lang w:val="ro-RO"/>
        </w:rPr>
        <w:t>st</w:t>
      </w:r>
      <w:r>
        <w:rPr>
          <w:rFonts w:ascii="Times New Roman" w:hAnsi="Times New Roman"/>
          <w:b/>
          <w:sz w:val="24"/>
          <w:szCs w:val="24"/>
          <w:lang w:val="ro-RO"/>
        </w:rPr>
        <w:t>ră este obligatorie, se vor</w:t>
      </w:r>
      <w:r w:rsidRPr="0046144D">
        <w:rPr>
          <w:rFonts w:ascii="Times New Roman" w:hAnsi="Times New Roman"/>
          <w:b/>
          <w:sz w:val="24"/>
          <w:szCs w:val="24"/>
          <w:lang w:val="ro-RO"/>
        </w:rPr>
        <w:t xml:space="preserve"> desfăşura după cum urmează:</w:t>
      </w:r>
    </w:p>
    <w:p w:rsidR="00AD7230" w:rsidRDefault="00AD7230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7230" w:rsidRDefault="00AD7230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D7230" w:rsidRDefault="00AD7230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5AE1" w:rsidRDefault="00DB5AE1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B5AE1" w:rsidRDefault="00DB5AE1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0"/>
        <w:gridCol w:w="1371"/>
        <w:gridCol w:w="1662"/>
        <w:gridCol w:w="2148"/>
        <w:gridCol w:w="2255"/>
      </w:tblGrid>
      <w:tr w:rsidR="00DB5AE1" w:rsidRPr="0046144D" w:rsidTr="00DB5AE1">
        <w:trPr>
          <w:trHeight w:val="751"/>
          <w:jc w:val="center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7230" w:rsidRPr="0046144D" w:rsidRDefault="00AD7230" w:rsidP="00DB5AE1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Tematica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7230" w:rsidRPr="0046144D" w:rsidRDefault="00AD7230" w:rsidP="00DB5AE1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7230" w:rsidRPr="0046144D" w:rsidRDefault="00AD7230" w:rsidP="00DB5AE1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Locul desfăşurării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7230" w:rsidRPr="0046144D" w:rsidRDefault="00AD7230" w:rsidP="00DB5AE1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Organizatori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D7230" w:rsidRPr="0046144D" w:rsidRDefault="00AD7230" w:rsidP="00DB5AE1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Participă directorii din localitățile:</w:t>
            </w:r>
          </w:p>
        </w:tc>
      </w:tr>
      <w:tr w:rsidR="00DB5AE1" w:rsidRPr="0046144D" w:rsidTr="00DB5AE1">
        <w:trPr>
          <w:trHeight w:val="70"/>
          <w:jc w:val="center"/>
        </w:trPr>
        <w:tc>
          <w:tcPr>
            <w:tcW w:w="1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Default="00AD7230" w:rsidP="00FE7BF6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AD7230" w:rsidRDefault="00AD7230" w:rsidP="00AD72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  <w:r w:rsidRPr="00AD7230">
              <w:rPr>
                <w:rFonts w:ascii="Times New Roman" w:hAnsi="Times New Roman"/>
                <w:sz w:val="24"/>
                <w:szCs w:val="24"/>
                <w:lang w:val="ro-RO"/>
              </w:rPr>
              <w:t>Conducerea/Leadership-ul și managementul procesului de predare învățare: Managementul inspecției școlare - modalități de eficientizare a controlului calității actului didactic de către director, șefi de catedre.</w:t>
            </w:r>
          </w:p>
          <w:p w:rsidR="00AD7230" w:rsidRPr="00AD7230" w:rsidRDefault="00AD7230" w:rsidP="00AD72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  <w:r w:rsidRPr="00AD7230">
              <w:rPr>
                <w:rFonts w:ascii="Times New Roman" w:hAnsi="Times New Roman"/>
                <w:sz w:val="24"/>
                <w:szCs w:val="24"/>
                <w:lang w:val="ro-RO"/>
              </w:rPr>
              <w:t>Conducerea/leadership-ul și managementul resurselor umane: Responsabilitate și asumare. Modalitati de motivare a profesorilor pentru sustinerea unui act didactic de calitate. Cum dezvoltăm cultura elevilor centrată pe învățare.</w:t>
            </w:r>
          </w:p>
          <w:p w:rsidR="00AD7230" w:rsidRPr="0046144D" w:rsidRDefault="00AD7230" w:rsidP="00AD7230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  <w:r w:rsidRPr="00AD7230">
              <w:rPr>
                <w:rFonts w:ascii="Times New Roman" w:hAnsi="Times New Roman"/>
                <w:sz w:val="24"/>
                <w:szCs w:val="24"/>
                <w:lang w:val="ro-RO"/>
              </w:rPr>
              <w:t>Conducerea/Leadership-ul și managementul în comunitate: Managementul parteneriatelor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proiectelor. </w:t>
            </w:r>
            <w:r w:rsidRPr="00AD7230">
              <w:rPr>
                <w:rFonts w:ascii="Times New Roman" w:hAnsi="Times New Roman"/>
                <w:sz w:val="24"/>
                <w:szCs w:val="24"/>
                <w:lang w:val="ro-RO"/>
              </w:rPr>
              <w:t>Marketing educațional.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1D6C16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1D6C1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Zona de Nord</w:t>
            </w: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D7230" w:rsidRPr="0037544F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544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Marți,</w:t>
            </w:r>
          </w:p>
          <w:p w:rsidR="00AD7230" w:rsidRDefault="00DB5AE1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 decembrie</w:t>
            </w:r>
            <w:r w:rsidR="00AD7230" w:rsidRPr="0037544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2017, </w:t>
            </w:r>
          </w:p>
          <w:p w:rsidR="00AD7230" w:rsidRPr="0037544F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9.0</w:t>
            </w:r>
            <w:r w:rsidRPr="0037544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37544F" w:rsidRDefault="00AD7230" w:rsidP="00FE7BF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Cultural ”Ion Manu”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Otopeni</w:t>
            </w:r>
            <w:proofErr w:type="spellEnd"/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A25BEA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Inspector şcolar prof. Rada DUMITRU</w:t>
            </w: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Director</w:t>
            </w:r>
          </w:p>
          <w:p w:rsidR="00AD7230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Viorica HERA</w:t>
            </w:r>
          </w:p>
          <w:p w:rsidR="00AD7230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DB5AE1" w:rsidRDefault="00AD7230" w:rsidP="00DB5AE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B5A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Invitați: </w:t>
            </w:r>
          </w:p>
          <w:p w:rsidR="00DB5AE1" w:rsidRDefault="00DB5AE1" w:rsidP="00DB5AE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B5AE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dr.  </w:t>
            </w:r>
            <w:r w:rsidRPr="00DB5A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Remus CHINĂ</w:t>
            </w:r>
            <w:r w:rsidRPr="00DB5AE1">
              <w:rPr>
                <w:rFonts w:ascii="Times New Roman" w:hAnsi="Times New Roman"/>
                <w:sz w:val="24"/>
                <w:szCs w:val="24"/>
                <w:lang w:val="ro-RO"/>
              </w:rPr>
              <w:t>, inspector Ministerul Educației Naționale</w:t>
            </w:r>
          </w:p>
          <w:p w:rsidR="00AD7230" w:rsidRPr="0046144D" w:rsidRDefault="00DB5AE1" w:rsidP="00DB5AE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B5A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dr. Magdalena BALICA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 w:rsidRPr="00DB5AE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Paul BLENDEA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cercetători, </w:t>
            </w:r>
            <w:r w:rsidRPr="00DB5AE1">
              <w:rPr>
                <w:rFonts w:ascii="Times New Roman" w:hAnsi="Times New Roman"/>
                <w:sz w:val="24"/>
                <w:szCs w:val="24"/>
                <w:lang w:val="ro-RO"/>
              </w:rPr>
              <w:t>Institutul de Științe ale Educației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AE1" w:rsidRDefault="00DB5AE1" w:rsidP="00FE7BF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Afumaţi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Voluntari,</w:t>
            </w:r>
          </w:p>
          <w:p w:rsidR="00AD7230" w:rsidRPr="0046144D" w:rsidRDefault="00AD7230" w:rsidP="00FE7BF6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Ghermănești, Periş, Corbeanca, Gruiu, Petrăchioaia, Dascălu, Baloteşti, Moara Vlăsiei, Grădiştea, Nuci, Ciolpani, </w:t>
            </w:r>
          </w:p>
          <w:p w:rsidR="00AD7230" w:rsidRPr="00FE47AF" w:rsidRDefault="00AD7230" w:rsidP="00FE7BF6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Buftea, Mogoşoaia,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Otopeni,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Ştefăneştii de Jos, Tunari,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Snagov, Găneasa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, Dobroeşti, Pantelimon, Branesti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Cernica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B5AE1" w:rsidRPr="0046144D" w:rsidTr="00DB5AE1">
        <w:trPr>
          <w:trHeight w:val="467"/>
          <w:jc w:val="center"/>
        </w:trPr>
        <w:tc>
          <w:tcPr>
            <w:tcW w:w="1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D7230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Zona de Sud</w:t>
            </w: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D7230" w:rsidRPr="00A25BEA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25B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Marți, </w:t>
            </w:r>
          </w:p>
          <w:p w:rsidR="00AD7230" w:rsidRDefault="00DB5AE1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 ianuarie  2018</w:t>
            </w:r>
            <w:r w:rsidR="00AD7230" w:rsidRPr="00A25B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</w:p>
          <w:p w:rsidR="00AD7230" w:rsidRPr="00A25BEA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ora 9.0</w:t>
            </w:r>
            <w:r w:rsidRPr="00A25BE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</w:t>
            </w: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  <w:p w:rsidR="00AD7230" w:rsidRPr="006E1B9D" w:rsidRDefault="00DB5AE1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6E1B9D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Liceul Teoretic ”Horia Hulubei” Măgurele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 școlar, </w:t>
            </w:r>
          </w:p>
          <w:p w:rsidR="00AD7230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prof. Rada DUMITRU</w:t>
            </w:r>
          </w:p>
          <w:p w:rsidR="00DB5AE1" w:rsidRPr="0046144D" w:rsidRDefault="00DB5AE1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Director, prof. </w:t>
            </w:r>
            <w:r w:rsidR="00DB5AE1">
              <w:rPr>
                <w:rFonts w:ascii="Times New Roman" w:hAnsi="Times New Roman"/>
                <w:sz w:val="24"/>
                <w:szCs w:val="24"/>
                <w:lang w:val="ro-RO"/>
              </w:rPr>
              <w:t>Alina ȘTEFAN</w:t>
            </w:r>
          </w:p>
          <w:p w:rsidR="00AD7230" w:rsidRPr="0046144D" w:rsidRDefault="00AD7230" w:rsidP="00FE7BF6">
            <w:pPr>
              <w:tabs>
                <w:tab w:val="left" w:pos="23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230" w:rsidRPr="0046144D" w:rsidRDefault="00AD7230" w:rsidP="00DB5AE1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Bragadiru, Berceni, </w:t>
            </w:r>
            <w:r w:rsidRPr="0046144D">
              <w:rPr>
                <w:rFonts w:ascii="Times New Roman" w:hAnsi="Times New Roman"/>
                <w:sz w:val="24"/>
                <w:szCs w:val="24"/>
                <w:lang w:val="it-IT"/>
              </w:rPr>
              <w:t>Ciorogârla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Cornetu,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Chiajna, Chitila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Pr="0046144D">
              <w:rPr>
                <w:rFonts w:ascii="Times New Roman" w:hAnsi="Times New Roman"/>
                <w:sz w:val="24"/>
                <w:szCs w:val="24"/>
                <w:lang w:val="it-IT"/>
              </w:rPr>
              <w:t>Copăceni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Clinceni, 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Domneşti,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Dragomirești-Vale, 1 Decembrie,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46144D">
              <w:rPr>
                <w:rFonts w:ascii="Times New Roman" w:hAnsi="Times New Roman"/>
                <w:sz w:val="24"/>
                <w:szCs w:val="24"/>
                <w:lang w:val="it-IT"/>
              </w:rPr>
              <w:t>Dărăşti,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Pr="0046144D">
              <w:rPr>
                <w:rFonts w:ascii="Times New Roman" w:hAnsi="Times New Roman"/>
                <w:sz w:val="24"/>
                <w:szCs w:val="24"/>
                <w:lang w:val="ro-RO"/>
              </w:rPr>
              <w:t>Glina</w:t>
            </w:r>
            <w:r w:rsidRPr="0046144D">
              <w:rPr>
                <w:rFonts w:ascii="Times New Roman" w:hAnsi="Times New Roman"/>
                <w:sz w:val="24"/>
                <w:szCs w:val="24"/>
                <w:lang w:val="it-IT"/>
              </w:rPr>
              <w:t>, Jilava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, Măgurele, Popeşti-Leordeni</w:t>
            </w:r>
            <w:r w:rsidRPr="0046144D">
              <w:rPr>
                <w:rFonts w:ascii="Times New Roman" w:hAnsi="Times New Roman"/>
                <w:sz w:val="24"/>
                <w:szCs w:val="24"/>
                <w:lang w:val="it-IT"/>
              </w:rPr>
              <w:t>, Vidra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</w:tr>
    </w:tbl>
    <w:p w:rsidR="00AD7230" w:rsidRDefault="00AD7230" w:rsidP="00F74CE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74CE8" w:rsidRDefault="00F74CE8" w:rsidP="00DB5A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74CE8" w:rsidRDefault="00DB5AE1" w:rsidP="00DB5A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Inspector școlar pentru management instituțional,</w:t>
      </w:r>
    </w:p>
    <w:p w:rsidR="00DB5AE1" w:rsidRDefault="00DB5AE1" w:rsidP="00DB5A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Rada DUMITRU</w:t>
      </w:r>
    </w:p>
    <w:p w:rsidR="00F74CE8" w:rsidRPr="00F74CE8" w:rsidRDefault="00F74CE8" w:rsidP="00F74CE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74CE8" w:rsidRPr="00F74CE8" w:rsidSect="00DB5AE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A5E" w:rsidRDefault="005E3A5E" w:rsidP="00F74CE8">
      <w:pPr>
        <w:spacing w:after="0" w:line="240" w:lineRule="auto"/>
      </w:pPr>
      <w:r>
        <w:separator/>
      </w:r>
    </w:p>
  </w:endnote>
  <w:endnote w:type="continuationSeparator" w:id="0">
    <w:p w:rsidR="005E3A5E" w:rsidRDefault="005E3A5E" w:rsidP="00F7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39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B9D" w:rsidRDefault="006E1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7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B9D" w:rsidRDefault="006E1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A5E" w:rsidRDefault="005E3A5E" w:rsidP="00F74CE8">
      <w:pPr>
        <w:spacing w:after="0" w:line="240" w:lineRule="auto"/>
      </w:pPr>
      <w:r>
        <w:separator/>
      </w:r>
    </w:p>
  </w:footnote>
  <w:footnote w:type="continuationSeparator" w:id="0">
    <w:p w:rsidR="005E3A5E" w:rsidRDefault="005E3A5E" w:rsidP="00F7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CE8" w:rsidRDefault="00F74CE8">
    <w:pPr>
      <w:pStyle w:val="Header"/>
    </w:pPr>
    <w:r w:rsidRPr="00402815">
      <w:rPr>
        <w:noProof/>
      </w:rPr>
      <w:drawing>
        <wp:inline distT="0" distB="0" distL="0" distR="0" wp14:anchorId="6DC8FE31" wp14:editId="52CC8D4B">
          <wp:extent cx="5851525" cy="869950"/>
          <wp:effectExtent l="0" t="0" r="0" b="6350"/>
          <wp:docPr id="25" name="Imagine 25" descr="C:\Users\TiE\Desktop\1.DB_TI_SIGLA ISJ IF-var.3 mai 2017 01 mai 2017 - final9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iE\Desktop\1.DB_TI_SIGLA ISJ IF-var.3 mai 2017 01 mai 2017 - final9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5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74338"/>
    <w:multiLevelType w:val="hybridMultilevel"/>
    <w:tmpl w:val="22BA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E8"/>
    <w:rsid w:val="001E370E"/>
    <w:rsid w:val="005E3A5E"/>
    <w:rsid w:val="006E1B9D"/>
    <w:rsid w:val="007E4F0D"/>
    <w:rsid w:val="009F383A"/>
    <w:rsid w:val="00A55377"/>
    <w:rsid w:val="00AD7230"/>
    <w:rsid w:val="00DB5AE1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E8"/>
  </w:style>
  <w:style w:type="paragraph" w:styleId="Footer">
    <w:name w:val="footer"/>
    <w:basedOn w:val="Normal"/>
    <w:link w:val="FooterChar"/>
    <w:uiPriority w:val="99"/>
    <w:unhideWhenUsed/>
    <w:rsid w:val="00F7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E8"/>
  </w:style>
  <w:style w:type="paragraph" w:styleId="BalloonText">
    <w:name w:val="Balloon Text"/>
    <w:basedOn w:val="Normal"/>
    <w:link w:val="BalloonTextChar"/>
    <w:uiPriority w:val="99"/>
    <w:semiHidden/>
    <w:unhideWhenUsed/>
    <w:rsid w:val="00F7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E8"/>
  </w:style>
  <w:style w:type="paragraph" w:styleId="Footer">
    <w:name w:val="footer"/>
    <w:basedOn w:val="Normal"/>
    <w:link w:val="FooterChar"/>
    <w:uiPriority w:val="99"/>
    <w:unhideWhenUsed/>
    <w:rsid w:val="00F7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E8"/>
  </w:style>
  <w:style w:type="paragraph" w:styleId="BalloonText">
    <w:name w:val="Balloon Text"/>
    <w:basedOn w:val="Normal"/>
    <w:link w:val="BalloonTextChar"/>
    <w:uiPriority w:val="99"/>
    <w:semiHidden/>
    <w:unhideWhenUsed/>
    <w:rsid w:val="00F7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13"/>
    <w:rsid w:val="001F3802"/>
    <w:rsid w:val="00D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C7304544D41F986C32531BC9B3519">
    <w:name w:val="A9CC7304544D41F986C32531BC9B3519"/>
    <w:rsid w:val="00DE20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CC7304544D41F986C32531BC9B3519">
    <w:name w:val="A9CC7304544D41F986C32531BC9B3519"/>
    <w:rsid w:val="00DE2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2017-12-12T13:39:00Z</cp:lastPrinted>
  <dcterms:created xsi:type="dcterms:W3CDTF">2017-12-12T12:57:00Z</dcterms:created>
  <dcterms:modified xsi:type="dcterms:W3CDTF">2017-12-12T13:43:00Z</dcterms:modified>
</cp:coreProperties>
</file>